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6D" w:rsidRPr="00BF0D1F" w:rsidRDefault="00D041E3" w:rsidP="00D041E3">
      <w:pPr>
        <w:rPr>
          <w:rFonts w:ascii="Tahoma" w:hAnsi="Tahoma" w:cs="Tahoma"/>
          <w:b/>
        </w:rPr>
      </w:pPr>
      <w:r>
        <w:t>Department/Unit</w:t>
      </w:r>
      <w:r w:rsidR="00D6018F">
        <w:t xml:space="preserve">    </w:t>
      </w:r>
      <w:r w:rsidR="00D6018F" w:rsidRPr="008E3B94">
        <w:rPr>
          <w:b/>
        </w:rPr>
        <w:t xml:space="preserve"> </w:t>
      </w:r>
      <w:r w:rsidR="007D4DF1" w:rsidRPr="008E3B94">
        <w:rPr>
          <w:b/>
        </w:rPr>
        <w:t>Se</w:t>
      </w:r>
      <w:r w:rsidR="007D4DF1">
        <w:rPr>
          <w:b/>
        </w:rPr>
        <w:t>curity</w:t>
      </w:r>
      <w:r w:rsidR="00A95FC9">
        <w:rPr>
          <w:b/>
        </w:rPr>
        <w:t xml:space="preserve">, Public Safety and Disaster Preparedness </w:t>
      </w:r>
      <w:r w:rsidR="007D4DF1">
        <w:rPr>
          <w:b/>
        </w:rPr>
        <w:t>Department</w:t>
      </w:r>
      <w:r w:rsidR="009577B5" w:rsidRPr="009577B5">
        <w:rPr>
          <w:b/>
        </w:rPr>
        <w:t xml:space="preserve"> </w:t>
      </w:r>
      <w:r w:rsidR="009577B5">
        <w:t xml:space="preserve">    </w:t>
      </w:r>
      <w:r w:rsidR="009577B5" w:rsidRPr="00BF0D1F">
        <w:rPr>
          <w:rFonts w:ascii="Tahoma" w:hAnsi="Tahoma" w:cs="Tahoma"/>
          <w:b/>
        </w:rPr>
        <w:t>FY  2011-2012</w:t>
      </w:r>
    </w:p>
    <w:p w:rsidR="00AA0558" w:rsidRPr="00AA0558" w:rsidRDefault="00700DEF" w:rsidP="00D041E3">
      <w:r>
        <w:rPr>
          <w:noProof/>
        </w:rPr>
        <w:pict>
          <v:line id="Line 5" o:spid="_x0000_s1026" style="position:absolute;z-index:251657216;visibility:visible;mso-wrap-distance-top:-3e-5mm;mso-wrap-distance-bottom:-3e-5mm" from="90.1pt,-.1pt" to="702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Bd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GoTOdcQUErNTOhtroWb2arabfHVJ61RB14JHh28VAWhYykncpYeMM4O+7L5pBDDl6Hdt0&#10;rm0bIKEB6BzVuNzV4GePKBxOp9NRnoJ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"/>
        </w:pict>
      </w:r>
      <w:r w:rsidR="00D041E3">
        <w:rPr>
          <w:noProof/>
        </w:rPr>
        <w:t>Team Members</w:t>
      </w:r>
      <w:r w:rsidR="00D6018F">
        <w:rPr>
          <w:noProof/>
        </w:rPr>
        <w:t xml:space="preserve">        </w:t>
      </w:r>
      <w:r w:rsidR="009577B5">
        <w:rPr>
          <w:noProof/>
        </w:rPr>
        <w:t xml:space="preserve">Gary Stromlund, </w:t>
      </w:r>
      <w:r w:rsidR="00BF0D1F">
        <w:rPr>
          <w:noProof/>
        </w:rPr>
        <w:t xml:space="preserve">John Chan, Manny Cuevas, Ralph Flores, </w:t>
      </w:r>
      <w:r w:rsidR="00C24B2D">
        <w:rPr>
          <w:noProof/>
        </w:rPr>
        <w:t>J</w:t>
      </w:r>
      <w:r w:rsidR="00BF0D1F">
        <w:rPr>
          <w:noProof/>
        </w:rPr>
        <w:t>eff Jones, and Kevin Nguyen</w:t>
      </w:r>
      <w:r>
        <w:rPr>
          <w:noProof/>
        </w:rPr>
        <w:pict>
          <v:line id="Line 6" o:spid="_x0000_s1027" style="position:absolute;z-index:251658240;visibility:visible;mso-wrap-distance-top:-3e-5mm;mso-wrap-distance-bottom:-3e-5mm;mso-position-horizontal-relative:text;mso-position-vertical-relative:text" from="89.5pt,-.1pt" to="701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2TEg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"/>
        </w:pic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1"/>
        <w:gridCol w:w="3442"/>
        <w:gridCol w:w="3874"/>
        <w:gridCol w:w="3411"/>
      </w:tblGrid>
      <w:tr w:rsidR="00F50587" w:rsidTr="00D70395">
        <w:trPr>
          <w:tblHeader/>
        </w:trPr>
        <w:tc>
          <w:tcPr>
            <w:tcW w:w="3421" w:type="dxa"/>
            <w:shd w:val="clear" w:color="auto" w:fill="D9D9D9"/>
          </w:tcPr>
          <w:p w:rsidR="00F50587" w:rsidRPr="00446001" w:rsidRDefault="00F50587" w:rsidP="005E66DE">
            <w:pPr>
              <w:jc w:val="center"/>
              <w:rPr>
                <w:szCs w:val="28"/>
              </w:rPr>
            </w:pPr>
            <w:r w:rsidRPr="00446001">
              <w:rPr>
                <w:szCs w:val="28"/>
              </w:rPr>
              <w:t>I</w:t>
            </w:r>
          </w:p>
        </w:tc>
        <w:tc>
          <w:tcPr>
            <w:tcW w:w="3442" w:type="dxa"/>
            <w:shd w:val="clear" w:color="auto" w:fill="D9D9D9"/>
          </w:tcPr>
          <w:p w:rsidR="00F50587" w:rsidRPr="00446001" w:rsidRDefault="00F50587" w:rsidP="005E66DE">
            <w:pPr>
              <w:jc w:val="center"/>
              <w:rPr>
                <w:szCs w:val="28"/>
              </w:rPr>
            </w:pPr>
            <w:r w:rsidRPr="00446001">
              <w:rPr>
                <w:szCs w:val="28"/>
              </w:rPr>
              <w:t>II</w:t>
            </w:r>
          </w:p>
        </w:tc>
        <w:tc>
          <w:tcPr>
            <w:tcW w:w="3874" w:type="dxa"/>
            <w:shd w:val="clear" w:color="auto" w:fill="D9D9D9"/>
          </w:tcPr>
          <w:p w:rsidR="00F50587" w:rsidRPr="00446001" w:rsidRDefault="00F50587" w:rsidP="005E66DE">
            <w:pPr>
              <w:jc w:val="center"/>
              <w:rPr>
                <w:szCs w:val="28"/>
              </w:rPr>
            </w:pPr>
            <w:r w:rsidRPr="00446001">
              <w:rPr>
                <w:szCs w:val="28"/>
              </w:rPr>
              <w:t>III</w:t>
            </w:r>
          </w:p>
        </w:tc>
        <w:tc>
          <w:tcPr>
            <w:tcW w:w="3411" w:type="dxa"/>
            <w:shd w:val="clear" w:color="auto" w:fill="D9D9D9"/>
          </w:tcPr>
          <w:p w:rsidR="00F50587" w:rsidRPr="00446001" w:rsidRDefault="00F50587" w:rsidP="005E66DE">
            <w:pPr>
              <w:jc w:val="center"/>
              <w:rPr>
                <w:szCs w:val="28"/>
              </w:rPr>
            </w:pPr>
            <w:r w:rsidRPr="00446001">
              <w:rPr>
                <w:szCs w:val="28"/>
              </w:rPr>
              <w:t>IV</w:t>
            </w:r>
          </w:p>
        </w:tc>
      </w:tr>
      <w:tr w:rsidR="00F50587" w:rsidTr="00D70395">
        <w:trPr>
          <w:tblHeader/>
        </w:trPr>
        <w:tc>
          <w:tcPr>
            <w:tcW w:w="3421" w:type="dxa"/>
            <w:shd w:val="clear" w:color="auto" w:fill="E6E6E6"/>
          </w:tcPr>
          <w:p w:rsidR="00F50587" w:rsidRPr="00D041E3" w:rsidRDefault="00D041E3" w:rsidP="005E66DE">
            <w:pPr>
              <w:jc w:val="center"/>
              <w:rPr>
                <w:b/>
                <w:sz w:val="24"/>
              </w:rPr>
            </w:pPr>
            <w:r w:rsidRPr="00D041E3">
              <w:rPr>
                <w:b/>
                <w:sz w:val="24"/>
              </w:rPr>
              <w:t>Expected Outcomes</w:t>
            </w:r>
          </w:p>
          <w:p w:rsidR="00D041E3" w:rsidRDefault="0032684A" w:rsidP="005246F3">
            <w:pPr>
              <w:jc w:val="center"/>
            </w:pPr>
            <w:r>
              <w:rPr>
                <w:szCs w:val="22"/>
              </w:rPr>
              <w:t>(</w:t>
            </w:r>
            <w:r w:rsidR="00F86068">
              <w:rPr>
                <w:szCs w:val="22"/>
              </w:rPr>
              <w:t>Student Service Outcomes, and/or</w:t>
            </w:r>
            <w:r w:rsidR="00D041E3">
              <w:rPr>
                <w:szCs w:val="22"/>
              </w:rPr>
              <w:t xml:space="preserve"> Service Area Outcomes)</w:t>
            </w:r>
          </w:p>
        </w:tc>
        <w:tc>
          <w:tcPr>
            <w:tcW w:w="3442" w:type="dxa"/>
            <w:shd w:val="clear" w:color="auto" w:fill="E6E6E6"/>
          </w:tcPr>
          <w:p w:rsidR="00F50587" w:rsidRPr="00D041E3" w:rsidRDefault="00F50587" w:rsidP="005E66DE">
            <w:pPr>
              <w:jc w:val="center"/>
              <w:rPr>
                <w:b/>
                <w:sz w:val="24"/>
              </w:rPr>
            </w:pPr>
            <w:r w:rsidRPr="00D041E3">
              <w:rPr>
                <w:b/>
                <w:sz w:val="24"/>
              </w:rPr>
              <w:t xml:space="preserve">Assessment </w:t>
            </w:r>
            <w:r w:rsidR="00D041E3">
              <w:rPr>
                <w:b/>
                <w:sz w:val="24"/>
              </w:rPr>
              <w:t>Plans</w:t>
            </w:r>
          </w:p>
          <w:p w:rsidR="00432F4F" w:rsidRPr="00432F4F" w:rsidRDefault="00D041E3" w:rsidP="00F42B6C">
            <w:pPr>
              <w:jc w:val="center"/>
              <w:rPr>
                <w:szCs w:val="22"/>
              </w:rPr>
            </w:pPr>
            <w:r>
              <w:t xml:space="preserve">(How will you measure your success? </w:t>
            </w:r>
            <w:r w:rsidR="00432F4F" w:rsidRPr="00432F4F">
              <w:rPr>
                <w:szCs w:val="22"/>
              </w:rPr>
              <w:t>Include assessment met</w:t>
            </w:r>
            <w:r w:rsidR="00F42B6C">
              <w:rPr>
                <w:szCs w:val="22"/>
              </w:rPr>
              <w:t>hod and how, what, when, and who</w:t>
            </w:r>
            <w:r>
              <w:rPr>
                <w:szCs w:val="22"/>
              </w:rPr>
              <w:t>)</w:t>
            </w:r>
          </w:p>
        </w:tc>
        <w:tc>
          <w:tcPr>
            <w:tcW w:w="3874" w:type="dxa"/>
            <w:shd w:val="clear" w:color="auto" w:fill="E6E6E6"/>
          </w:tcPr>
          <w:p w:rsidR="00F50587" w:rsidRPr="00D041E3" w:rsidRDefault="00D041E3" w:rsidP="005E66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Assessment Results</w:t>
            </w:r>
          </w:p>
          <w:p w:rsidR="00432F4F" w:rsidRPr="00432F4F" w:rsidRDefault="00D041E3" w:rsidP="005E66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(Describe results of the assessment. </w:t>
            </w:r>
            <w:r w:rsidR="00432F4F" w:rsidRPr="00432F4F">
              <w:rPr>
                <w:szCs w:val="22"/>
              </w:rPr>
              <w:t>Include main findings, date</w:t>
            </w:r>
            <w:r w:rsidR="00432F4F">
              <w:rPr>
                <w:szCs w:val="22"/>
              </w:rPr>
              <w:t>,</w:t>
            </w:r>
            <w:r>
              <w:rPr>
                <w:szCs w:val="22"/>
              </w:rPr>
              <w:t xml:space="preserve"> and report author.)</w:t>
            </w:r>
          </w:p>
        </w:tc>
        <w:tc>
          <w:tcPr>
            <w:tcW w:w="3411" w:type="dxa"/>
            <w:shd w:val="clear" w:color="auto" w:fill="E6E6E6"/>
          </w:tcPr>
          <w:p w:rsidR="00F50587" w:rsidRPr="00D041E3" w:rsidRDefault="00D041E3" w:rsidP="005E66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Implications and Plans for Improving Results</w:t>
            </w:r>
          </w:p>
          <w:p w:rsidR="00432F4F" w:rsidRPr="00432F4F" w:rsidRDefault="00D041E3" w:rsidP="005E66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(What operational changes, resources, or modifications to expected outcomes or assessment methods are needed?)</w:t>
            </w:r>
          </w:p>
        </w:tc>
      </w:tr>
      <w:tr w:rsidR="007D3D5D" w:rsidTr="00D70395">
        <w:trPr>
          <w:trHeight w:val="1728"/>
        </w:trPr>
        <w:tc>
          <w:tcPr>
            <w:tcW w:w="3421" w:type="dxa"/>
          </w:tcPr>
          <w:p w:rsidR="007D3D5D" w:rsidRDefault="00BF0D1F" w:rsidP="00BF0D1F">
            <w:r>
              <w:t xml:space="preserve">1. </w:t>
            </w:r>
            <w:r w:rsidR="00FF23D2">
              <w:t>Ensure and maintain safe and secure learning environment</w:t>
            </w:r>
            <w:r w:rsidR="00215152">
              <w:t>s</w:t>
            </w:r>
            <w:r w:rsidR="00FF23D2">
              <w:t xml:space="preserve"> for students at the College Center, Costa Mesa (Newport Beach) Center, Garden Grove Center and Le-Jao Center.</w:t>
            </w:r>
          </w:p>
        </w:tc>
        <w:tc>
          <w:tcPr>
            <w:tcW w:w="3442" w:type="dxa"/>
          </w:tcPr>
          <w:p w:rsidR="007D3D5D" w:rsidRDefault="000E158E" w:rsidP="00BF0D1F">
            <w:r>
              <w:t>Review</w:t>
            </w:r>
            <w:r w:rsidR="00BF0D1F">
              <w:t xml:space="preserve"> </w:t>
            </w:r>
            <w:r>
              <w:t xml:space="preserve">security needs per learning center on a monthly basis; </w:t>
            </w:r>
            <w:r w:rsidR="00BF0D1F">
              <w:t xml:space="preserve">respond to safety emergencies quickly; </w:t>
            </w:r>
            <w:r w:rsidR="00003D30">
              <w:t xml:space="preserve">review and implement preventative measures to enhance security and safety; </w:t>
            </w:r>
            <w:r>
              <w:t xml:space="preserve">review and respond to security suggestions and concerns from student surveys; collect and monitor student </w:t>
            </w:r>
            <w:r w:rsidR="00BF0D1F">
              <w:t xml:space="preserve">discipline </w:t>
            </w:r>
            <w:r>
              <w:t>incidents at each Coastline site; collect and monitor security issues at each College location; and produce annual reports for Clery statistics</w:t>
            </w:r>
            <w:r w:rsidR="00BF0D1F">
              <w:t>.</w:t>
            </w:r>
          </w:p>
        </w:tc>
        <w:tc>
          <w:tcPr>
            <w:tcW w:w="3874" w:type="dxa"/>
          </w:tcPr>
          <w:p w:rsidR="007D3D5D" w:rsidRDefault="00BF0D1F" w:rsidP="009F60ED">
            <w:r>
              <w:t>In 2011-12, d</w:t>
            </w:r>
            <w:r w:rsidR="00003D30">
              <w:t>evelop</w:t>
            </w:r>
            <w:r>
              <w:t>ed</w:t>
            </w:r>
            <w:r w:rsidR="00003D30">
              <w:t xml:space="preserve"> and implement</w:t>
            </w:r>
            <w:r>
              <w:t>ed</w:t>
            </w:r>
            <w:r w:rsidR="00003D30">
              <w:t xml:space="preserve"> preventative measures to enhance security</w:t>
            </w:r>
            <w:r>
              <w:t>/</w:t>
            </w:r>
            <w:r w:rsidR="00003D30">
              <w:t>safety</w:t>
            </w:r>
            <w:r>
              <w:t xml:space="preserve"> and </w:t>
            </w:r>
            <w:r w:rsidR="00003D30">
              <w:t>met with department heads</w:t>
            </w:r>
            <w:r>
              <w:t xml:space="preserve">, College Council and the </w:t>
            </w:r>
            <w:r w:rsidR="00003D30">
              <w:t>President’s Executive Council</w:t>
            </w:r>
            <w:r>
              <w:t xml:space="preserve">.  </w:t>
            </w:r>
            <w:r w:rsidR="00003D30">
              <w:t xml:space="preserve">  </w:t>
            </w:r>
            <w:r w:rsidR="000E158E">
              <w:t>Review</w:t>
            </w:r>
            <w:r>
              <w:t>ed</w:t>
            </w:r>
            <w:r w:rsidR="000E158E">
              <w:t xml:space="preserve"> and analyze</w:t>
            </w:r>
            <w:r>
              <w:t>d</w:t>
            </w:r>
            <w:r w:rsidR="000E158E">
              <w:t xml:space="preserve"> annual student surveys.  From Fall 2011 </w:t>
            </w:r>
            <w:r w:rsidR="00003D30">
              <w:t>S</w:t>
            </w:r>
            <w:r w:rsidR="000E158E">
              <w:t xml:space="preserve">tudent </w:t>
            </w:r>
            <w:r w:rsidR="00003D30">
              <w:t>S</w:t>
            </w:r>
            <w:r w:rsidR="000E158E">
              <w:t>urvey</w:t>
            </w:r>
            <w:r w:rsidR="009F60ED">
              <w:t xml:space="preserve">, </w:t>
            </w:r>
            <w:r w:rsidR="00B102F5">
              <w:t>83% of students strongly agree/agree that they feel comfortable in the Coastline College environment.  From the Fall 2011 student survey</w:t>
            </w:r>
            <w:r w:rsidR="009F60ED">
              <w:t xml:space="preserve">, </w:t>
            </w:r>
            <w:r w:rsidR="00B102F5">
              <w:t>72% of students indicated they felt very safe at the Costa Mesa Center, 77% of students indicated that they felt at the Garden Grove Center, and 65% of students indicated they felt very safe at the Le-Jao Center.</w:t>
            </w:r>
          </w:p>
        </w:tc>
        <w:tc>
          <w:tcPr>
            <w:tcW w:w="3411" w:type="dxa"/>
          </w:tcPr>
          <w:p w:rsidR="007D3D5D" w:rsidRDefault="005A4070" w:rsidP="00D041E3">
            <w:pPr>
              <w:rPr>
                <w:szCs w:val="22"/>
              </w:rPr>
            </w:pPr>
            <w:r>
              <w:rPr>
                <w:szCs w:val="22"/>
              </w:rPr>
              <w:t>Reviewing security plans for the Ne</w:t>
            </w:r>
            <w:r w:rsidR="000C015D">
              <w:rPr>
                <w:szCs w:val="22"/>
              </w:rPr>
              <w:t xml:space="preserve">wport Beach Center prior to Spring 2013.  </w:t>
            </w:r>
          </w:p>
          <w:p w:rsidR="00922446" w:rsidRPr="0046303E" w:rsidRDefault="00922446" w:rsidP="009F60ED">
            <w:pPr>
              <w:rPr>
                <w:szCs w:val="22"/>
              </w:rPr>
            </w:pPr>
            <w:r>
              <w:rPr>
                <w:szCs w:val="22"/>
              </w:rPr>
              <w:t>Meeting the challenges with budget issues to staff officers at the various College locations.</w:t>
            </w:r>
            <w:r w:rsidR="00BF0D1F">
              <w:rPr>
                <w:szCs w:val="22"/>
              </w:rPr>
              <w:t xml:space="preserve">  To provide optimal security at each Coastline site, the department would need to provide officers at any Coastline location that had students, faculty and staff present including Fridays and Saturdays – an additional 3 part-time officers </w:t>
            </w:r>
            <w:r w:rsidR="009F60ED">
              <w:rPr>
                <w:szCs w:val="22"/>
              </w:rPr>
              <w:t xml:space="preserve">would be </w:t>
            </w:r>
            <w:r w:rsidR="00BF0D1F">
              <w:rPr>
                <w:szCs w:val="22"/>
              </w:rPr>
              <w:t>needed at $51,000 per year ($17,00 per PT officer)</w:t>
            </w:r>
            <w:r w:rsidR="009F60ED">
              <w:rPr>
                <w:szCs w:val="22"/>
              </w:rPr>
              <w:t>, and an additional 160-day employee ($10,000 per year).</w:t>
            </w:r>
          </w:p>
        </w:tc>
      </w:tr>
      <w:tr w:rsidR="007D3D5D" w:rsidTr="00D70395">
        <w:trPr>
          <w:trHeight w:val="1728"/>
        </w:trPr>
        <w:tc>
          <w:tcPr>
            <w:tcW w:w="3421" w:type="dxa"/>
          </w:tcPr>
          <w:p w:rsidR="007D3D5D" w:rsidRDefault="00BF0D1F" w:rsidP="00BF0D1F">
            <w:r>
              <w:t xml:space="preserve">2. </w:t>
            </w:r>
            <w:r w:rsidR="00FF23D2">
              <w:t>Ensure and maintain safe and secure work environment</w:t>
            </w:r>
            <w:r w:rsidR="00215152">
              <w:t xml:space="preserve">s </w:t>
            </w:r>
            <w:r w:rsidR="00FF23D2">
              <w:t>for faculty, classified staff and administration at the College Center, Costa Mesa (Newport Beach) Center, Garden Grove</w:t>
            </w:r>
            <w:r>
              <w:t xml:space="preserve">         </w:t>
            </w:r>
            <w:r w:rsidR="00FF23D2">
              <w:t xml:space="preserve"> </w:t>
            </w:r>
            <w:r>
              <w:lastRenderedPageBreak/>
              <w:t xml:space="preserve">2. (continued) </w:t>
            </w:r>
            <w:r>
              <w:br/>
            </w:r>
            <w:r w:rsidR="00FF23D2">
              <w:t>Center and Le-Jao Center.</w:t>
            </w:r>
            <w:r w:rsidR="009F60ED">
              <w:t xml:space="preserve">  Provide assistance and security advice to the</w:t>
            </w:r>
            <w:r w:rsidR="00201D9A">
              <w:t xml:space="preserve"> One-Stop Centers as needed.</w:t>
            </w:r>
          </w:p>
        </w:tc>
        <w:tc>
          <w:tcPr>
            <w:tcW w:w="3442" w:type="dxa"/>
          </w:tcPr>
          <w:p w:rsidR="007D3D5D" w:rsidRDefault="000C015D" w:rsidP="00BF0D1F">
            <w:r>
              <w:lastRenderedPageBreak/>
              <w:t xml:space="preserve">Review and respond to security needs per learning center; review and respond to security suggestions and concerns from center staff, faculty and administration; collect and monitor student and personnel </w:t>
            </w:r>
            <w:r>
              <w:lastRenderedPageBreak/>
              <w:t>incidents as they occur at each Coastline site; collect and monitor security issues at each College location; and produce annual reports for Clery statistics.</w:t>
            </w:r>
            <w:r w:rsidR="00FE7048">
              <w:t xml:space="preserve">  </w:t>
            </w:r>
            <w:r w:rsidR="00BF0D1F">
              <w:t xml:space="preserve">Hold department meetings with security </w:t>
            </w:r>
            <w:r w:rsidR="004513C4">
              <w:t xml:space="preserve">officers </w:t>
            </w:r>
            <w:r w:rsidR="00BF0D1F">
              <w:t>to go over incidents, needs and procedures.</w:t>
            </w:r>
          </w:p>
        </w:tc>
        <w:tc>
          <w:tcPr>
            <w:tcW w:w="3874" w:type="dxa"/>
          </w:tcPr>
          <w:p w:rsidR="007D3D5D" w:rsidRDefault="00003D30" w:rsidP="004513C4">
            <w:r>
              <w:lastRenderedPageBreak/>
              <w:t>Develop and implement preventative measures to enhance security and safety-met with department heads, classified staff, faculty groups and  President’s Executive Council in FY 2011-2012. From Fall 2011 E</w:t>
            </w:r>
            <w:r w:rsidR="004513C4">
              <w:t>mployee Survey:</w:t>
            </w:r>
            <w:r w:rsidR="004513C4">
              <w:br/>
            </w:r>
            <w:r w:rsidR="004513C4">
              <w:lastRenderedPageBreak/>
              <w:t xml:space="preserve">College Center, </w:t>
            </w:r>
            <w:r>
              <w:t>57.3% employees felt very safe while 29.2% felt s</w:t>
            </w:r>
            <w:r w:rsidR="004513C4">
              <w:t xml:space="preserve">lightly safe; Costa Mesa Center, </w:t>
            </w:r>
            <w:r>
              <w:t>33.3% of employees felt very safe while 23.3% felt slightly safe; Garden Grove</w:t>
            </w:r>
            <w:r w:rsidR="004513C4">
              <w:t xml:space="preserve">, </w:t>
            </w:r>
            <w:r>
              <w:t>38.9% felt very safe while 22.2% felt slightly safe; Le-Jao Center</w:t>
            </w:r>
            <w:r w:rsidR="004513C4">
              <w:t xml:space="preserve">, </w:t>
            </w:r>
            <w:r>
              <w:t>33.3% felt very safe while 17.5% felt slightly safe.  Overall, 51.4% of employees assessed the campus environment as good</w:t>
            </w:r>
            <w:r w:rsidR="004513C4">
              <w:t>,</w:t>
            </w:r>
            <w:r>
              <w:t xml:space="preserve"> while </w:t>
            </w:r>
            <w:r w:rsidR="00922446">
              <w:t>excellent and good rates tied at 21.5%.</w:t>
            </w:r>
          </w:p>
        </w:tc>
        <w:tc>
          <w:tcPr>
            <w:tcW w:w="3411" w:type="dxa"/>
          </w:tcPr>
          <w:p w:rsidR="007D3D5D" w:rsidRPr="0046303E" w:rsidRDefault="00922446" w:rsidP="00D041E3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Meeting the challenges with budget issues to staff officers at the various College locations.</w:t>
            </w:r>
            <w:r w:rsidR="00026565">
              <w:rPr>
                <w:szCs w:val="22"/>
              </w:rPr>
              <w:t xml:space="preserve">  Review new security technology.</w:t>
            </w:r>
            <w:r>
              <w:rPr>
                <w:szCs w:val="22"/>
              </w:rPr>
              <w:t xml:space="preserve">  </w:t>
            </w:r>
          </w:p>
        </w:tc>
      </w:tr>
      <w:tr w:rsidR="007D3D5D" w:rsidTr="00D70395">
        <w:trPr>
          <w:trHeight w:val="1728"/>
        </w:trPr>
        <w:tc>
          <w:tcPr>
            <w:tcW w:w="3421" w:type="dxa"/>
          </w:tcPr>
          <w:p w:rsidR="007D3D5D" w:rsidRDefault="00BF0D1F" w:rsidP="00FF23D2">
            <w:r>
              <w:lastRenderedPageBreak/>
              <w:t xml:space="preserve">3. </w:t>
            </w:r>
            <w:r w:rsidR="00FF23D2">
              <w:t>As a culture of planning, inquiry and evidence, m</w:t>
            </w:r>
            <w:r w:rsidR="008870BD">
              <w:t xml:space="preserve">aintain accurate </w:t>
            </w:r>
            <w:r w:rsidR="00FF23D2">
              <w:t>easily retrievable records to meet manda</w:t>
            </w:r>
            <w:r w:rsidR="005E4E4E">
              <w:t xml:space="preserve">ted reports and planning </w:t>
            </w:r>
            <w:r w:rsidR="00215152">
              <w:t>report needs</w:t>
            </w:r>
            <w:r w:rsidR="00FF23D2">
              <w:t>.</w:t>
            </w:r>
          </w:p>
        </w:tc>
        <w:tc>
          <w:tcPr>
            <w:tcW w:w="3442" w:type="dxa"/>
          </w:tcPr>
          <w:p w:rsidR="00BB6468" w:rsidRDefault="00F30BEF" w:rsidP="004B09AC">
            <w:r>
              <w:t xml:space="preserve">Review processes for ways to streamline recordkeeping by : 1) utilizing technology to manage Clery statistics, incident reports, officer activities, and information  from these sources, 2) Obtain and update agreements from local police departments to share reports /information on Clery-reportable incidents </w:t>
            </w:r>
            <w:r w:rsidR="00BF0D1F">
              <w:t xml:space="preserve">annually, </w:t>
            </w:r>
            <w:r>
              <w:t xml:space="preserve"> 3) </w:t>
            </w:r>
            <w:r w:rsidR="00922446">
              <w:t>R</w:t>
            </w:r>
            <w:r>
              <w:t>esearch automate</w:t>
            </w:r>
            <w:r w:rsidR="004B09AC">
              <w:t>d</w:t>
            </w:r>
            <w:r>
              <w:t xml:space="preserve"> parking ticket appeals and consider options for first-time parking violators, 4) </w:t>
            </w:r>
            <w:r w:rsidR="000C015D">
              <w:t>r</w:t>
            </w:r>
            <w:r>
              <w:t xml:space="preserve">ecommendations </w:t>
            </w:r>
            <w:r w:rsidR="00922446">
              <w:t>w/</w:t>
            </w:r>
            <w:r>
              <w:t>Safety</w:t>
            </w:r>
            <w:r w:rsidR="00922446">
              <w:t xml:space="preserve"> Comm.</w:t>
            </w:r>
          </w:p>
        </w:tc>
        <w:tc>
          <w:tcPr>
            <w:tcW w:w="3874" w:type="dxa"/>
          </w:tcPr>
          <w:p w:rsidR="007D3D5D" w:rsidRDefault="00C143A2" w:rsidP="00B2373C">
            <w:r>
              <w:t>1)</w:t>
            </w:r>
            <w:r w:rsidR="000C015D">
              <w:t xml:space="preserve">Purchased and utilizing software to track and document incident reports; </w:t>
            </w:r>
            <w:r w:rsidR="00D64CA0">
              <w:br/>
            </w:r>
            <w:r w:rsidR="00E2214C">
              <w:t>2</w:t>
            </w:r>
            <w:r>
              <w:t>)</w:t>
            </w:r>
            <w:r w:rsidR="00E2214C">
              <w:t xml:space="preserve"> </w:t>
            </w:r>
            <w:r w:rsidR="00B2373C">
              <w:t xml:space="preserve">Established liaison with police departments in </w:t>
            </w:r>
            <w:r w:rsidR="00E2214C">
              <w:t>the Cities of Costa Mesa, Fountain Valley, Garden Grove, and Westminster</w:t>
            </w:r>
            <w:r w:rsidR="00B2373C">
              <w:t xml:space="preserve"> regarding </w:t>
            </w:r>
            <w:r w:rsidR="000E59A9">
              <w:t>crime reporting</w:t>
            </w:r>
            <w:r w:rsidR="00E2214C">
              <w:t xml:space="preserve">; </w:t>
            </w:r>
            <w:r w:rsidR="00D64CA0">
              <w:t xml:space="preserve"> </w:t>
            </w:r>
            <w:r w:rsidR="00E2214C">
              <w:t>3</w:t>
            </w:r>
            <w:r>
              <w:t>)</w:t>
            </w:r>
            <w:r w:rsidR="00D64CA0">
              <w:t xml:space="preserve"> R</w:t>
            </w:r>
            <w:r w:rsidR="00E2214C">
              <w:t>esearch</w:t>
            </w:r>
            <w:r w:rsidR="00B2373C">
              <w:t>ed</w:t>
            </w:r>
            <w:r w:rsidR="00E2214C">
              <w:t xml:space="preserve"> ways to automate parking ticket appeals; and </w:t>
            </w:r>
            <w:r>
              <w:br/>
            </w:r>
            <w:r w:rsidR="00E2214C">
              <w:t>4</w:t>
            </w:r>
            <w:r>
              <w:t>)</w:t>
            </w:r>
            <w:r w:rsidR="00E2214C">
              <w:t xml:space="preserve"> the Safety</w:t>
            </w:r>
            <w:r w:rsidR="00B2373C">
              <w:t xml:space="preserve"> Committee meets 6</w:t>
            </w:r>
            <w:r w:rsidR="00BF0D1F">
              <w:t>-times a year</w:t>
            </w:r>
            <w:r w:rsidR="004B09AC">
              <w:t xml:space="preserve"> to discuss safety needs and concerns</w:t>
            </w:r>
            <w:r w:rsidR="000E59A9">
              <w:t>, and makes recommendations.</w:t>
            </w:r>
          </w:p>
        </w:tc>
        <w:tc>
          <w:tcPr>
            <w:tcW w:w="3411" w:type="dxa"/>
          </w:tcPr>
          <w:p w:rsidR="007D3D5D" w:rsidRDefault="000C015D" w:rsidP="00D041E3">
            <w:pPr>
              <w:rPr>
                <w:szCs w:val="22"/>
              </w:rPr>
            </w:pPr>
            <w:r>
              <w:rPr>
                <w:szCs w:val="22"/>
              </w:rPr>
              <w:t>Review technology and software costs.</w:t>
            </w:r>
          </w:p>
          <w:p w:rsidR="00922446" w:rsidRDefault="00922446" w:rsidP="004B09AC">
            <w:pPr>
              <w:rPr>
                <w:szCs w:val="22"/>
              </w:rPr>
            </w:pPr>
            <w:r>
              <w:rPr>
                <w:szCs w:val="22"/>
              </w:rPr>
              <w:t>Work with the College webmaster to create automated forms and appeals.</w:t>
            </w:r>
          </w:p>
          <w:p w:rsidR="004B09AC" w:rsidRPr="0046303E" w:rsidRDefault="004B09AC" w:rsidP="004B09AC">
            <w:pPr>
              <w:rPr>
                <w:szCs w:val="22"/>
              </w:rPr>
            </w:pPr>
            <w:r>
              <w:rPr>
                <w:szCs w:val="22"/>
              </w:rPr>
              <w:t>Work with the College webmaster to develop a comprehensive  Security Department website that contains emergency preparedness information, safety documents and safety tips, and security alerts</w:t>
            </w:r>
            <w:r w:rsidR="00FE7F4C">
              <w:rPr>
                <w:szCs w:val="22"/>
              </w:rPr>
              <w:t xml:space="preserve"> (also, see #5 – Expected Outcomes for additional details).</w:t>
            </w:r>
          </w:p>
        </w:tc>
      </w:tr>
      <w:tr w:rsidR="007D3D5D" w:rsidTr="00D70395">
        <w:trPr>
          <w:trHeight w:val="1728"/>
        </w:trPr>
        <w:tc>
          <w:tcPr>
            <w:tcW w:w="3421" w:type="dxa"/>
          </w:tcPr>
          <w:p w:rsidR="007D3D5D" w:rsidRDefault="004B09AC" w:rsidP="00FF23D2">
            <w:r>
              <w:lastRenderedPageBreak/>
              <w:t xml:space="preserve">4. </w:t>
            </w:r>
            <w:r w:rsidR="00FF23D2">
              <w:t>Ensure and maintain emergency response readiness and disaster preparedness.</w:t>
            </w:r>
          </w:p>
        </w:tc>
        <w:tc>
          <w:tcPr>
            <w:tcW w:w="3442" w:type="dxa"/>
          </w:tcPr>
          <w:p w:rsidR="007D3D5D" w:rsidRDefault="00F30BEF" w:rsidP="004B09AC">
            <w:r>
              <w:t>Coastline’s Security/Public Safety Department and the District provide training for new CERT members and refresher training to existing CERT members; keep the emergency response team list current; furnish emergency equipment/supplies and train College personnel on proper use of the equipment/supplies; conduct training local and state-wide drills; audit drill schedules</w:t>
            </w:r>
            <w:r w:rsidR="004B09AC">
              <w:t xml:space="preserve"> and</w:t>
            </w:r>
            <w:r>
              <w:t xml:space="preserve"> provide team members with site-specific emergency response plans.</w:t>
            </w:r>
          </w:p>
        </w:tc>
        <w:tc>
          <w:tcPr>
            <w:tcW w:w="3874" w:type="dxa"/>
          </w:tcPr>
          <w:p w:rsidR="007D3D5D" w:rsidRDefault="001C0F08" w:rsidP="00EF0842">
            <w:r>
              <w:t xml:space="preserve">Obtain data from </w:t>
            </w:r>
            <w:r w:rsidR="004B09AC">
              <w:t xml:space="preserve">bi-annual </w:t>
            </w:r>
            <w:r>
              <w:t>audit</w:t>
            </w:r>
            <w:r w:rsidR="004B09AC">
              <w:t>s</w:t>
            </w:r>
            <w:r>
              <w:t xml:space="preserve"> of emergency equipment/supplies and the teams’ state of readiness.</w:t>
            </w:r>
            <w:r w:rsidR="00FE7048">
              <w:t xml:space="preserve">  Revise Emergency Flip Charts and ensure that all supplies are current and available (AED’s, evacuation chairs, check lists and basic emergency tools-flashlights).</w:t>
            </w:r>
          </w:p>
          <w:p w:rsidR="001C0F08" w:rsidRDefault="001C0F08" w:rsidP="00AE1754">
            <w:r>
              <w:t>Obtain drill audit data and measure team members’ knowledge of site-specific ER plans.</w:t>
            </w:r>
            <w:r w:rsidR="00AE1754">
              <w:t xml:space="preserve"> CA Earthquake drill conducted College-wide on 10/17/2011.  All College emergency team leaders fulfilled their responsibilities to safely evacuate personnel, students and public from all Coastline buildings.</w:t>
            </w:r>
          </w:p>
          <w:p w:rsidR="00E2214C" w:rsidRDefault="00E2214C" w:rsidP="00AE1754">
            <w:r>
              <w:t>Developing online survey for team members to obtain feedback on drill and training needs.</w:t>
            </w:r>
          </w:p>
        </w:tc>
        <w:tc>
          <w:tcPr>
            <w:tcW w:w="3411" w:type="dxa"/>
          </w:tcPr>
          <w:p w:rsidR="007D3D5D" w:rsidRDefault="00E2214C" w:rsidP="00FE7F4C">
            <w:r>
              <w:rPr>
                <w:szCs w:val="22"/>
              </w:rPr>
              <w:t>Develop online survey in FY 2012-13.</w:t>
            </w:r>
            <w:r w:rsidR="00FE7048">
              <w:rPr>
                <w:szCs w:val="22"/>
              </w:rPr>
              <w:t xml:space="preserve">  </w:t>
            </w:r>
            <w:r w:rsidR="00FE7048">
              <w:rPr>
                <w:szCs w:val="22"/>
              </w:rPr>
              <w:br/>
              <w:t>Cost for keeping all equipment and supplies current and relevant</w:t>
            </w:r>
            <w:r w:rsidR="004B09AC">
              <w:rPr>
                <w:szCs w:val="22"/>
              </w:rPr>
              <w:t>-</w:t>
            </w:r>
            <w:r w:rsidR="00FE7F4C">
              <w:t>Stryker Chair (2), CERT helmets and CERT bags = $5,000.</w:t>
            </w:r>
            <w:r w:rsidR="00FE7F4C">
              <w:br/>
              <w:t>To maintain and keep current with Emergency Preparedness activities and utilize the Clery software, need part-time support staff = $14,000 per year.</w:t>
            </w:r>
          </w:p>
          <w:p w:rsidR="00746D9D" w:rsidRPr="0046303E" w:rsidRDefault="00746D9D" w:rsidP="00FE7F4C">
            <w:pPr>
              <w:rPr>
                <w:szCs w:val="22"/>
              </w:rPr>
            </w:pPr>
            <w:r>
              <w:t>Provide individual site plans and training for emergency response issues and concerns.</w:t>
            </w:r>
          </w:p>
        </w:tc>
      </w:tr>
      <w:tr w:rsidR="00EF0842" w:rsidTr="00D70395">
        <w:trPr>
          <w:trHeight w:val="1728"/>
        </w:trPr>
        <w:tc>
          <w:tcPr>
            <w:tcW w:w="3421" w:type="dxa"/>
          </w:tcPr>
          <w:p w:rsidR="00EF0842" w:rsidRDefault="00FE7F4C" w:rsidP="005E4E4E">
            <w:r>
              <w:t xml:space="preserve">5. </w:t>
            </w:r>
            <w:r w:rsidR="005E4E4E">
              <w:t xml:space="preserve">For innovation and improvement in communications, the department will utilize technology to ensure adequate and accessibility to campus security information and resources to faculty, students, classified staff </w:t>
            </w:r>
            <w:r>
              <w:br/>
            </w:r>
            <w:r>
              <w:lastRenderedPageBreak/>
              <w:t>5. (continued)</w:t>
            </w:r>
            <w:r>
              <w:br/>
            </w:r>
            <w:r w:rsidR="005E4E4E">
              <w:t>and administration.</w:t>
            </w:r>
          </w:p>
        </w:tc>
        <w:tc>
          <w:tcPr>
            <w:tcW w:w="3442" w:type="dxa"/>
          </w:tcPr>
          <w:p w:rsidR="00EF0842" w:rsidRDefault="00782E9C" w:rsidP="00B714CD">
            <w:r>
              <w:lastRenderedPageBreak/>
              <w:t xml:space="preserve">Maintain and post campus safety and security reports on the College website.  The reports may contain Clery statistics and report information, crime/information bulletins, contact information, parking and appeal information , </w:t>
            </w:r>
            <w:r>
              <w:lastRenderedPageBreak/>
              <w:t xml:space="preserve">automated suggestion box, emergency information and general safety information.  Conduct surveys and </w:t>
            </w:r>
            <w:r w:rsidR="00B714CD">
              <w:t xml:space="preserve">come-up with </w:t>
            </w:r>
            <w:r w:rsidR="00FE7F4C">
              <w:t xml:space="preserve"> </w:t>
            </w:r>
            <w:r w:rsidR="00894874">
              <w:t>recommend</w:t>
            </w:r>
            <w:r w:rsidR="00FE7F4C">
              <w:t xml:space="preserve">ations </w:t>
            </w:r>
            <w:r w:rsidR="00B714CD">
              <w:t xml:space="preserve">from </w:t>
            </w:r>
            <w:bookmarkStart w:id="0" w:name="_GoBack"/>
            <w:bookmarkEnd w:id="0"/>
            <w:r>
              <w:t>the Safety Committee.</w:t>
            </w:r>
          </w:p>
        </w:tc>
        <w:tc>
          <w:tcPr>
            <w:tcW w:w="3874" w:type="dxa"/>
          </w:tcPr>
          <w:p w:rsidR="00EF0842" w:rsidRDefault="00782E9C" w:rsidP="007765EF">
            <w:r>
              <w:lastRenderedPageBreak/>
              <w:t xml:space="preserve">The campus safety and security reports are posted online FY 2009-FY 2011 at </w:t>
            </w:r>
            <w:hyperlink r:id="rId8" w:history="1">
              <w:r w:rsidRPr="00782E9C">
                <w:rPr>
                  <w:rStyle w:val="Hyperlink"/>
                </w:rPr>
                <w:t>http://www.coastline.edu/departments/</w:t>
              </w:r>
              <w:r w:rsidRPr="00782E9C">
                <w:rPr>
                  <w:rStyle w:val="Hyperlink"/>
                </w:rPr>
                <w:br/>
                <w:t>admissions/page.cfm?LinkID=1593</w:t>
              </w:r>
            </w:hyperlink>
          </w:p>
          <w:p w:rsidR="00782E9C" w:rsidRDefault="00782E9C" w:rsidP="007765EF">
            <w:r>
              <w:t>Received feedback and recommendations from the Safety Committee.</w:t>
            </w:r>
            <w:r w:rsidR="00B242EA">
              <w:t xml:space="preserve">  The department will keep </w:t>
            </w:r>
            <w:r w:rsidR="00B242EA">
              <w:lastRenderedPageBreak/>
              <w:t>all information and resources current and effective.  Survey faculty, classified staff and administration on safety information they want to read.</w:t>
            </w:r>
          </w:p>
          <w:p w:rsidR="00FE7048" w:rsidRDefault="00FE7048" w:rsidP="00FE7F4C">
            <w:r>
              <w:t>Department and District utilizing ‘</w:t>
            </w:r>
            <w:r w:rsidR="00FE7F4C">
              <w:t>Blackboard Connect</w:t>
            </w:r>
            <w:r>
              <w:t xml:space="preserve">’ </w:t>
            </w:r>
            <w:r w:rsidR="00FE7F4C">
              <w:t xml:space="preserve">multi-modal </w:t>
            </w:r>
            <w:r>
              <w:t>notification; email notification sent College-wide through Administrative Services Department.</w:t>
            </w:r>
          </w:p>
        </w:tc>
        <w:tc>
          <w:tcPr>
            <w:tcW w:w="3411" w:type="dxa"/>
          </w:tcPr>
          <w:p w:rsidR="00EF0842" w:rsidRDefault="00782E9C" w:rsidP="00782E9C">
            <w:r>
              <w:lastRenderedPageBreak/>
              <w:t>Work with the College web master to develop a Security and Public Safety website</w:t>
            </w:r>
            <w:r w:rsidR="00FE7048">
              <w:t xml:space="preserve"> that will contain easily accessible information on emergency information, parking information, and county alerts.</w:t>
            </w:r>
          </w:p>
          <w:p w:rsidR="00782E9C" w:rsidRDefault="00782E9C" w:rsidP="00782E9C">
            <w:r>
              <w:t xml:space="preserve">Develop and deploy e-file safety </w:t>
            </w:r>
            <w:r>
              <w:lastRenderedPageBreak/>
              <w:t>resources for students , faculty, students, classified staff and administration</w:t>
            </w:r>
            <w:r w:rsidR="00FE7F4C">
              <w:t xml:space="preserve"> from the Security Department website</w:t>
            </w:r>
            <w:r>
              <w:t>.  Work with District to offer online training resources.</w:t>
            </w:r>
            <w:r w:rsidR="00FE7F4C">
              <w:br/>
            </w:r>
          </w:p>
          <w:p w:rsidR="00B242EA" w:rsidRDefault="00B242EA" w:rsidP="00782E9C">
            <w:r>
              <w:t>FY 2012-2013, develop a monthly e-newsletter on security-related topics.</w:t>
            </w:r>
          </w:p>
        </w:tc>
      </w:tr>
    </w:tbl>
    <w:p w:rsidR="00D95E6D" w:rsidRDefault="00D95E6D" w:rsidP="009372D4">
      <w:pPr>
        <w:pStyle w:val="Title"/>
        <w:jc w:val="left"/>
      </w:pPr>
    </w:p>
    <w:sectPr w:rsidR="00D95E6D" w:rsidSect="006A17F4">
      <w:headerReference w:type="default" r:id="rId9"/>
      <w:footerReference w:type="default" r:id="rId10"/>
      <w:pgSz w:w="15840" w:h="12240" w:orient="landscape" w:code="1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4B" w:rsidRDefault="00192A4B">
      <w:r>
        <w:separator/>
      </w:r>
    </w:p>
  </w:endnote>
  <w:endnote w:type="continuationSeparator" w:id="0">
    <w:p w:rsidR="00192A4B" w:rsidRDefault="0019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876"/>
      <w:docPartObj>
        <w:docPartGallery w:val="Page Numbers (Bottom of Page)"/>
        <w:docPartUnique/>
      </w:docPartObj>
    </w:sdtPr>
    <w:sdtContent>
      <w:p w:rsidR="002A017C" w:rsidRDefault="00700DEF">
        <w:pPr>
          <w:pStyle w:val="Footer"/>
          <w:jc w:val="center"/>
        </w:pPr>
        <w:r>
          <w:fldChar w:fldCharType="begin"/>
        </w:r>
        <w:r w:rsidR="00AB7F33">
          <w:instrText xml:space="preserve"> PAGE   \* MERGEFORMAT </w:instrText>
        </w:r>
        <w:r>
          <w:fldChar w:fldCharType="separate"/>
        </w:r>
        <w:r w:rsidR="00E40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F42" w:rsidRDefault="004E4F42" w:rsidP="00F50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4B" w:rsidRDefault="00192A4B">
      <w:r>
        <w:separator/>
      </w:r>
    </w:p>
  </w:footnote>
  <w:footnote w:type="continuationSeparator" w:id="0">
    <w:p w:rsidR="00192A4B" w:rsidRDefault="00192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306"/>
      <w:gridCol w:w="9073"/>
    </w:tblGrid>
    <w:tr w:rsidR="004E4F42">
      <w:tc>
        <w:tcPr>
          <w:tcW w:w="3275" w:type="dxa"/>
        </w:tcPr>
        <w:p w:rsidR="004E4F42" w:rsidRDefault="00D041E3" w:rsidP="00F5058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939925" cy="692785"/>
                <wp:effectExtent l="19050" t="0" r="3175" b="0"/>
                <wp:docPr id="1" name="Picture 1" descr="CCC no words 2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 no words 29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9925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3" w:type="dxa"/>
          <w:vAlign w:val="center"/>
        </w:tcPr>
        <w:p w:rsidR="004E4F42" w:rsidRPr="00175A2C" w:rsidRDefault="00D041E3" w:rsidP="00325A31">
          <w:pPr>
            <w:pStyle w:val="Heading1"/>
            <w:rPr>
              <w:rFonts w:ascii="Comic Sans MS" w:hAnsi="Comic Sans MS"/>
              <w:i/>
              <w:color w:val="000080"/>
              <w:sz w:val="28"/>
              <w:szCs w:val="28"/>
            </w:rPr>
          </w:pPr>
          <w:r>
            <w:rPr>
              <w:rFonts w:ascii="Comic Sans MS" w:hAnsi="Comic Sans MS"/>
              <w:i/>
              <w:color w:val="000080"/>
              <w:sz w:val="28"/>
              <w:szCs w:val="28"/>
            </w:rPr>
            <w:t>Departmental Services Outcomes</w:t>
          </w:r>
        </w:p>
        <w:p w:rsidR="004E4F42" w:rsidRPr="00E14032" w:rsidRDefault="004E4F42" w:rsidP="00325A31">
          <w:pPr>
            <w:pStyle w:val="Heading1"/>
            <w:rPr>
              <w:rFonts w:ascii="Lucida Calligraphy" w:hAnsi="Lucida Calligraphy"/>
              <w:color w:val="000080"/>
            </w:rPr>
          </w:pPr>
          <w:r w:rsidRPr="00E14032">
            <w:rPr>
              <w:rFonts w:ascii="Comic Sans MS" w:hAnsi="Comic Sans MS"/>
              <w:i/>
              <w:color w:val="000080"/>
            </w:rPr>
            <w:t>Measuring Success to Improve Teaching and Learning</w:t>
          </w:r>
        </w:p>
      </w:tc>
    </w:tr>
  </w:tbl>
  <w:p w:rsidR="004E4F42" w:rsidRDefault="004E4F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9D2"/>
    <w:multiLevelType w:val="hybridMultilevel"/>
    <w:tmpl w:val="CDE09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A3"/>
    <w:multiLevelType w:val="hybridMultilevel"/>
    <w:tmpl w:val="7EF2A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50D8"/>
    <w:multiLevelType w:val="hybridMultilevel"/>
    <w:tmpl w:val="7D88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6775F"/>
    <w:multiLevelType w:val="hybridMultilevel"/>
    <w:tmpl w:val="CD04B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14045"/>
    <w:multiLevelType w:val="hybridMultilevel"/>
    <w:tmpl w:val="C7360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C0D17"/>
    <w:multiLevelType w:val="hybridMultilevel"/>
    <w:tmpl w:val="CFB8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203D3"/>
    <w:multiLevelType w:val="hybridMultilevel"/>
    <w:tmpl w:val="36302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F1CAD"/>
    <w:multiLevelType w:val="hybridMultilevel"/>
    <w:tmpl w:val="07F0C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17DC7"/>
    <w:multiLevelType w:val="hybridMultilevel"/>
    <w:tmpl w:val="14E4D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36B"/>
    <w:rsid w:val="00003D30"/>
    <w:rsid w:val="00026565"/>
    <w:rsid w:val="000A0B21"/>
    <w:rsid w:val="000B4004"/>
    <w:rsid w:val="000C015D"/>
    <w:rsid w:val="000E158E"/>
    <w:rsid w:val="000E59A9"/>
    <w:rsid w:val="000E6B99"/>
    <w:rsid w:val="0010397A"/>
    <w:rsid w:val="001406D6"/>
    <w:rsid w:val="00143866"/>
    <w:rsid w:val="00163E11"/>
    <w:rsid w:val="00175A2C"/>
    <w:rsid w:val="00192A4B"/>
    <w:rsid w:val="001B522F"/>
    <w:rsid w:val="001C0F08"/>
    <w:rsid w:val="001C5505"/>
    <w:rsid w:val="00201D9A"/>
    <w:rsid w:val="00215152"/>
    <w:rsid w:val="00271A38"/>
    <w:rsid w:val="002809D3"/>
    <w:rsid w:val="002A017C"/>
    <w:rsid w:val="002A291D"/>
    <w:rsid w:val="002D4DB2"/>
    <w:rsid w:val="00300B16"/>
    <w:rsid w:val="00304366"/>
    <w:rsid w:val="00325A31"/>
    <w:rsid w:val="0032684A"/>
    <w:rsid w:val="00330F70"/>
    <w:rsid w:val="0033196C"/>
    <w:rsid w:val="00347EBB"/>
    <w:rsid w:val="003A0B47"/>
    <w:rsid w:val="003E3EE0"/>
    <w:rsid w:val="00410523"/>
    <w:rsid w:val="00432F4F"/>
    <w:rsid w:val="00446001"/>
    <w:rsid w:val="004513C4"/>
    <w:rsid w:val="0046303E"/>
    <w:rsid w:val="00480059"/>
    <w:rsid w:val="00486D0A"/>
    <w:rsid w:val="004B09AC"/>
    <w:rsid w:val="004B0E59"/>
    <w:rsid w:val="004D182F"/>
    <w:rsid w:val="004E236B"/>
    <w:rsid w:val="004E357F"/>
    <w:rsid w:val="004E4CB8"/>
    <w:rsid w:val="004E4F42"/>
    <w:rsid w:val="005246F3"/>
    <w:rsid w:val="0052536A"/>
    <w:rsid w:val="00533383"/>
    <w:rsid w:val="00543E8B"/>
    <w:rsid w:val="005A4070"/>
    <w:rsid w:val="005E4E4E"/>
    <w:rsid w:val="005E66DE"/>
    <w:rsid w:val="00606687"/>
    <w:rsid w:val="00607F71"/>
    <w:rsid w:val="00633D3B"/>
    <w:rsid w:val="00645545"/>
    <w:rsid w:val="006A17F4"/>
    <w:rsid w:val="006B4B79"/>
    <w:rsid w:val="006D408F"/>
    <w:rsid w:val="006F2DF6"/>
    <w:rsid w:val="00700DEF"/>
    <w:rsid w:val="0070250F"/>
    <w:rsid w:val="00746D9D"/>
    <w:rsid w:val="007765EF"/>
    <w:rsid w:val="00782E9C"/>
    <w:rsid w:val="007B1EC2"/>
    <w:rsid w:val="007D3D5D"/>
    <w:rsid w:val="007D4DF1"/>
    <w:rsid w:val="008024E4"/>
    <w:rsid w:val="00803035"/>
    <w:rsid w:val="008337D2"/>
    <w:rsid w:val="008525EE"/>
    <w:rsid w:val="008536DC"/>
    <w:rsid w:val="00870403"/>
    <w:rsid w:val="008870BD"/>
    <w:rsid w:val="0089318F"/>
    <w:rsid w:val="00894874"/>
    <w:rsid w:val="008E3B94"/>
    <w:rsid w:val="008E7BA7"/>
    <w:rsid w:val="00904798"/>
    <w:rsid w:val="00922446"/>
    <w:rsid w:val="009372D4"/>
    <w:rsid w:val="009577B5"/>
    <w:rsid w:val="009D127B"/>
    <w:rsid w:val="009D5553"/>
    <w:rsid w:val="009E2D16"/>
    <w:rsid w:val="009F60ED"/>
    <w:rsid w:val="00A44953"/>
    <w:rsid w:val="00A5716C"/>
    <w:rsid w:val="00A7053C"/>
    <w:rsid w:val="00A85C36"/>
    <w:rsid w:val="00A95FC9"/>
    <w:rsid w:val="00AA0558"/>
    <w:rsid w:val="00AB7F33"/>
    <w:rsid w:val="00AC08CA"/>
    <w:rsid w:val="00AD70F6"/>
    <w:rsid w:val="00AE1754"/>
    <w:rsid w:val="00B102F5"/>
    <w:rsid w:val="00B15173"/>
    <w:rsid w:val="00B2373C"/>
    <w:rsid w:val="00B242EA"/>
    <w:rsid w:val="00B4317D"/>
    <w:rsid w:val="00B552EF"/>
    <w:rsid w:val="00B714CD"/>
    <w:rsid w:val="00BB6468"/>
    <w:rsid w:val="00BC1653"/>
    <w:rsid w:val="00BD3754"/>
    <w:rsid w:val="00BE6C71"/>
    <w:rsid w:val="00BF0D1F"/>
    <w:rsid w:val="00C04B74"/>
    <w:rsid w:val="00C143A2"/>
    <w:rsid w:val="00C24B2D"/>
    <w:rsid w:val="00CB284B"/>
    <w:rsid w:val="00CF68C6"/>
    <w:rsid w:val="00CF7226"/>
    <w:rsid w:val="00D041E3"/>
    <w:rsid w:val="00D6018F"/>
    <w:rsid w:val="00D62A22"/>
    <w:rsid w:val="00D64CA0"/>
    <w:rsid w:val="00D70395"/>
    <w:rsid w:val="00D95E6D"/>
    <w:rsid w:val="00DA7233"/>
    <w:rsid w:val="00DA7AD2"/>
    <w:rsid w:val="00DE05E0"/>
    <w:rsid w:val="00E048E2"/>
    <w:rsid w:val="00E05561"/>
    <w:rsid w:val="00E14032"/>
    <w:rsid w:val="00E2214C"/>
    <w:rsid w:val="00E23177"/>
    <w:rsid w:val="00E3424A"/>
    <w:rsid w:val="00E40C7F"/>
    <w:rsid w:val="00E81612"/>
    <w:rsid w:val="00E84737"/>
    <w:rsid w:val="00EA7CA9"/>
    <w:rsid w:val="00EC3764"/>
    <w:rsid w:val="00EF0842"/>
    <w:rsid w:val="00F30BEF"/>
    <w:rsid w:val="00F42B6C"/>
    <w:rsid w:val="00F50587"/>
    <w:rsid w:val="00F7370D"/>
    <w:rsid w:val="00F86068"/>
    <w:rsid w:val="00FA2339"/>
    <w:rsid w:val="00FD55AD"/>
    <w:rsid w:val="00FE4EBD"/>
    <w:rsid w:val="00FE7048"/>
    <w:rsid w:val="00FE7F4C"/>
    <w:rsid w:val="00FF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E3"/>
    <w:rPr>
      <w:rFonts w:asciiTheme="minorHAnsi" w:hAnsiTheme="minorHAnsi" w:cs="Arial"/>
      <w:sz w:val="22"/>
      <w:szCs w:val="24"/>
    </w:rPr>
  </w:style>
  <w:style w:type="paragraph" w:styleId="Heading1">
    <w:name w:val="heading 1"/>
    <w:basedOn w:val="Normal"/>
    <w:next w:val="Normal"/>
    <w:qFormat/>
    <w:rsid w:val="00271A38"/>
    <w:pPr>
      <w:keepNext/>
      <w:outlineLvl w:val="0"/>
    </w:pPr>
    <w:rPr>
      <w:rFonts w:ascii="Brush Script MT" w:hAnsi="Brush Script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1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1A3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71A38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CB284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017C"/>
    <w:rPr>
      <w:rFonts w:asciiTheme="minorHAnsi" w:hAnsiTheme="minorHAnsi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C0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E3"/>
    <w:rPr>
      <w:rFonts w:asciiTheme="minorHAnsi" w:hAnsiTheme="minorHAnsi" w:cs="Arial"/>
      <w:sz w:val="22"/>
      <w:szCs w:val="24"/>
    </w:rPr>
  </w:style>
  <w:style w:type="paragraph" w:styleId="Heading1">
    <w:name w:val="heading 1"/>
    <w:basedOn w:val="Normal"/>
    <w:next w:val="Normal"/>
    <w:qFormat/>
    <w:rsid w:val="00271A38"/>
    <w:pPr>
      <w:keepNext/>
      <w:outlineLvl w:val="0"/>
    </w:pPr>
    <w:rPr>
      <w:rFonts w:ascii="Brush Script MT" w:hAnsi="Brush Script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1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1A3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71A38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CB284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017C"/>
    <w:rPr>
      <w:rFonts w:asciiTheme="minorHAnsi" w:hAnsiTheme="minorHAnsi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C0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line.edu/departments/admissions/page.cfm?LinkID=159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7DAA-0CDF-4195-98E2-1DABF279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Name</vt:lpstr>
    </vt:vector>
  </TitlesOfParts>
  <Company>Saddleback College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Name</dc:title>
  <dc:creator>ccesareosilva</dc:creator>
  <cp:lastModifiedBy>Gayle Berggren</cp:lastModifiedBy>
  <cp:revision>2</cp:revision>
  <cp:lastPrinted>2009-03-04T16:43:00Z</cp:lastPrinted>
  <dcterms:created xsi:type="dcterms:W3CDTF">2012-10-27T15:35:00Z</dcterms:created>
  <dcterms:modified xsi:type="dcterms:W3CDTF">2012-10-27T15:35:00Z</dcterms:modified>
</cp:coreProperties>
</file>